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BF" w:rsidRDefault="00194A76">
      <w:pPr>
        <w:pStyle w:val="Heading3"/>
      </w:pPr>
      <w:r>
        <w:t>Current Activities</w:t>
      </w:r>
    </w:p>
    <w:p w:rsidR="00FD2312" w:rsidRDefault="00FD2312" w:rsidP="000A6358">
      <w:r>
        <w:t xml:space="preserve">The 4691 “Moonshine” leisure / pub terminal is now on display in the Hursley room. </w:t>
      </w:r>
      <w:r w:rsidR="00D04A63">
        <w:t xml:space="preserve">After 30 years in someone’s garage it was rather dirty, but has cleaned up rather nicely. Unfortunately it is not in working order, probably </w:t>
      </w:r>
      <w:r w:rsidR="00971DD9">
        <w:t xml:space="preserve">with </w:t>
      </w:r>
      <w:r w:rsidR="00D04A63">
        <w:t xml:space="preserve">power supply problems. </w:t>
      </w:r>
      <w:r w:rsidR="009C455F">
        <w:t xml:space="preserve">The coasters were produced at the same time </w:t>
      </w:r>
      <w:r w:rsidR="00D04A63">
        <w:t xml:space="preserve">as the hardware development </w:t>
      </w:r>
      <w:r w:rsidR="009C455F">
        <w:t>and show made-up pub signs.</w:t>
      </w:r>
    </w:p>
    <w:p w:rsidR="00FD2312" w:rsidRDefault="00971DD9" w:rsidP="000A6358">
      <w:r>
        <w:rPr>
          <w:noProof/>
          <w:lang w:eastAsia="en-GB"/>
        </w:rPr>
        <w:drawing>
          <wp:inline distT="0" distB="0" distL="0" distR="0">
            <wp:extent cx="2844920" cy="2129892"/>
            <wp:effectExtent l="19050" t="0" r="0" b="0"/>
            <wp:docPr id="2" name="Picture 1" descr="d:\Documents\Hursley\Photos\temp\2018-12-14 10.20.40_c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Hursley\Photos\temp\2018-12-14 10.20.40_cc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92" cy="212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9C455F">
        <w:rPr>
          <w:noProof/>
          <w:lang w:eastAsia="en-GB"/>
        </w:rPr>
        <w:drawing>
          <wp:inline distT="0" distB="0" distL="0" distR="0">
            <wp:extent cx="2844920" cy="2129892"/>
            <wp:effectExtent l="19050" t="0" r="0" b="0"/>
            <wp:docPr id="3" name="Picture 2" descr="D:\Documents\Hursley\Photos\temp\2018-12-21 14.31.13_c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Hursley\Photos\temp\2018-12-21 14.31.13_cc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511" cy="2133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01B" w:rsidRDefault="007479E8" w:rsidP="00C3646B">
      <w:pPr>
        <w:pStyle w:val="Heading3"/>
      </w:pPr>
      <w:r>
        <w:t>360/40 Archive</w:t>
      </w:r>
    </w:p>
    <w:p w:rsidR="007479E8" w:rsidRPr="007479E8" w:rsidRDefault="007479E8" w:rsidP="007479E8">
      <w:r>
        <w:t>Now that we have identified at least some of the content of the ‘top safe’, the question is what to do with 300+ boxes. We’ve decided to put the boxes we took out back with the rest, take some more photos, catalogue their existence and leave them in peace.</w:t>
      </w:r>
    </w:p>
    <w:p w:rsidR="00C3646B" w:rsidRDefault="00B84D84" w:rsidP="00C3646B">
      <w:pPr>
        <w:pStyle w:val="Heading3"/>
      </w:pPr>
      <w:r>
        <w:t>Donations</w:t>
      </w:r>
    </w:p>
    <w:p w:rsidR="00B84D84" w:rsidRDefault="00B84D84" w:rsidP="00B84D84">
      <w:r>
        <w:t>The latest donation is an ITR clocking-in machine with IBM UK serial plate / service phone numbers inside and a short history on the back. The clocking-in mechanism is completely seized, but with that disconnected the clock itself runs well.</w:t>
      </w:r>
    </w:p>
    <w:p w:rsidR="007479E8" w:rsidRDefault="00B84D84" w:rsidP="007479E8">
      <w:r>
        <w:rPr>
          <w:i/>
          <w:noProof/>
          <w:lang w:eastAsia="en-GB"/>
        </w:rPr>
        <w:drawing>
          <wp:inline distT="0" distB="0" distL="0" distR="0">
            <wp:extent cx="1923690" cy="2569494"/>
            <wp:effectExtent l="19050" t="0" r="360" b="0"/>
            <wp:docPr id="5" name="Picture 4" descr="d:\Documents\Hursley\Photos\temp\hw1028_c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Hursley\Photos\temp\hw1028_cc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442" cy="2567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>
            <wp:extent cx="1921894" cy="1438855"/>
            <wp:effectExtent l="19050" t="0" r="2156" b="0"/>
            <wp:docPr id="6" name="Picture 5" descr="D:\Documents\Hursley\Photos\temp\hw1028_1_c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Hursley\Photos\temp\hw1028_1_cc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098" cy="1439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i/>
          <w:noProof/>
          <w:lang w:eastAsia="en-GB"/>
        </w:rPr>
        <w:drawing>
          <wp:inline distT="0" distB="0" distL="0" distR="0">
            <wp:extent cx="1724364" cy="2303252"/>
            <wp:effectExtent l="19050" t="0" r="9186" b="0"/>
            <wp:docPr id="7" name="Picture 6" descr="D:\Documents\Hursley\Photos\temp\hw1028_2_c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Hursley\Photos\temp\hw1028_2_cc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800" cy="2305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F59" w:rsidRDefault="00CC6F59" w:rsidP="00CC6F59">
      <w:pPr>
        <w:pStyle w:val="Heading3"/>
      </w:pPr>
      <w:r>
        <w:t>Hursley 60</w:t>
      </w:r>
      <w:r w:rsidRPr="00CC6F59">
        <w:rPr>
          <w:vertAlign w:val="superscript"/>
        </w:rPr>
        <w:t>th</w:t>
      </w:r>
    </w:p>
    <w:p w:rsidR="00CC6F59" w:rsidRPr="00CC6F59" w:rsidRDefault="00CC6F59" w:rsidP="00CC6F59">
      <w:r w:rsidRPr="00CC6F59">
        <w:t>The Museum supported a final celebration event for IBM employees to commemorate the actual anniversary of IBM coming to Hursley in December 1958 by providing a display featuring a number of awards, artefacts and images charting the history of both the site itself and the achievements of its staff.</w:t>
      </w:r>
      <w:r w:rsidRPr="00CC6F59">
        <w:br/>
      </w:r>
    </w:p>
    <w:sectPr w:rsidR="00CC6F59" w:rsidRPr="00CC6F59" w:rsidSect="00990CBF">
      <w:headerReference w:type="default" r:id="rId11"/>
      <w:footerReference w:type="default" r:id="rId12"/>
      <w:pgSz w:w="11906" w:h="16838" w:code="9"/>
      <w:pgMar w:top="1440" w:right="1230" w:bottom="1440" w:left="123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433" w:rsidRDefault="00925433">
      <w:r>
        <w:separator/>
      </w:r>
    </w:p>
  </w:endnote>
  <w:endnote w:type="continuationSeparator" w:id="0">
    <w:p w:rsidR="00925433" w:rsidRDefault="00925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BF" w:rsidRDefault="0029010D">
    <w:pPr>
      <w:pStyle w:val="Footer"/>
      <w:jc w:val="center"/>
    </w:pPr>
    <w:r>
      <w:t xml:space="preserve">Web Site: </w:t>
    </w:r>
    <w:hyperlink r:id="rId1" w:history="1">
      <w:r>
        <w:rPr>
          <w:rStyle w:val="Hyperlink"/>
        </w:rPr>
        <w:t>http://hursley.slx-online.biz/</w:t>
      </w:r>
    </w:hyperlink>
  </w:p>
  <w:p w:rsidR="00990CBF" w:rsidRDefault="0029010D">
    <w:pPr>
      <w:pStyle w:val="Footer"/>
      <w:jc w:val="center"/>
    </w:pPr>
    <w:r>
      <w:t xml:space="preserve">IBM Contact: </w:t>
    </w:r>
    <w:hyperlink r:id="rId2" w:history="1">
      <w:r>
        <w:rPr>
          <w:rStyle w:val="Hyperlink"/>
        </w:rPr>
        <w:t>Hursley Communications</w:t>
      </w:r>
    </w:hyperlink>
    <w:r>
      <w:tab/>
      <w:t xml:space="preserve">        Curator Contact: </w:t>
    </w:r>
    <w:hyperlink r:id="rId3" w:history="1">
      <w:r>
        <w:rPr>
          <w:rStyle w:val="Hyperlink"/>
        </w:rPr>
        <w:t>Peter Short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433" w:rsidRDefault="00925433">
      <w:r>
        <w:separator/>
      </w:r>
    </w:p>
  </w:footnote>
  <w:footnote w:type="continuationSeparator" w:id="0">
    <w:p w:rsidR="00925433" w:rsidRDefault="00925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CBF" w:rsidRDefault="0029010D">
    <w:pPr>
      <w:pStyle w:val="Heading1"/>
    </w:pPr>
    <w:r>
      <w:t xml:space="preserve">Hursley Museum Services – </w:t>
    </w:r>
    <w:r w:rsidR="0026556E">
      <w:t>January 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5BA7"/>
    <w:rsid w:val="00023732"/>
    <w:rsid w:val="000269DC"/>
    <w:rsid w:val="00036519"/>
    <w:rsid w:val="00047402"/>
    <w:rsid w:val="0008416B"/>
    <w:rsid w:val="000A6358"/>
    <w:rsid w:val="000B3491"/>
    <w:rsid w:val="000D19F7"/>
    <w:rsid w:val="000E6DA0"/>
    <w:rsid w:val="000F3E1E"/>
    <w:rsid w:val="00103766"/>
    <w:rsid w:val="00105BA7"/>
    <w:rsid w:val="00117594"/>
    <w:rsid w:val="00184B37"/>
    <w:rsid w:val="00194A76"/>
    <w:rsid w:val="001F2A0D"/>
    <w:rsid w:val="00224DA1"/>
    <w:rsid w:val="00225CE6"/>
    <w:rsid w:val="00247F34"/>
    <w:rsid w:val="0026556E"/>
    <w:rsid w:val="00282E0C"/>
    <w:rsid w:val="0029010D"/>
    <w:rsid w:val="00396382"/>
    <w:rsid w:val="003B6AD7"/>
    <w:rsid w:val="003C1B8E"/>
    <w:rsid w:val="0047656F"/>
    <w:rsid w:val="004B0DA7"/>
    <w:rsid w:val="004C18BB"/>
    <w:rsid w:val="0052684E"/>
    <w:rsid w:val="0057516C"/>
    <w:rsid w:val="00584603"/>
    <w:rsid w:val="00593419"/>
    <w:rsid w:val="005A55FC"/>
    <w:rsid w:val="005C4041"/>
    <w:rsid w:val="005D6495"/>
    <w:rsid w:val="006126BD"/>
    <w:rsid w:val="0063381A"/>
    <w:rsid w:val="00641AA5"/>
    <w:rsid w:val="006B1C0F"/>
    <w:rsid w:val="006E3281"/>
    <w:rsid w:val="007479E8"/>
    <w:rsid w:val="00774DEC"/>
    <w:rsid w:val="00776A00"/>
    <w:rsid w:val="007E69F7"/>
    <w:rsid w:val="008933CE"/>
    <w:rsid w:val="008C7E84"/>
    <w:rsid w:val="008D0A77"/>
    <w:rsid w:val="008D1120"/>
    <w:rsid w:val="00900FBA"/>
    <w:rsid w:val="00925433"/>
    <w:rsid w:val="00925550"/>
    <w:rsid w:val="00964E64"/>
    <w:rsid w:val="00971DD9"/>
    <w:rsid w:val="009756F7"/>
    <w:rsid w:val="00990CBF"/>
    <w:rsid w:val="009B2A2B"/>
    <w:rsid w:val="009C455F"/>
    <w:rsid w:val="009F7154"/>
    <w:rsid w:val="00A414EF"/>
    <w:rsid w:val="00A4223F"/>
    <w:rsid w:val="00A448BA"/>
    <w:rsid w:val="00A74201"/>
    <w:rsid w:val="00A91193"/>
    <w:rsid w:val="00A9460B"/>
    <w:rsid w:val="00AB2FF5"/>
    <w:rsid w:val="00AB7D83"/>
    <w:rsid w:val="00AD264F"/>
    <w:rsid w:val="00AE10C9"/>
    <w:rsid w:val="00B337DC"/>
    <w:rsid w:val="00B50857"/>
    <w:rsid w:val="00B839F7"/>
    <w:rsid w:val="00B84D84"/>
    <w:rsid w:val="00BA18F8"/>
    <w:rsid w:val="00BF7924"/>
    <w:rsid w:val="00C05082"/>
    <w:rsid w:val="00C12551"/>
    <w:rsid w:val="00C3646B"/>
    <w:rsid w:val="00C470FA"/>
    <w:rsid w:val="00C53950"/>
    <w:rsid w:val="00C67A11"/>
    <w:rsid w:val="00CA20B0"/>
    <w:rsid w:val="00CC6F59"/>
    <w:rsid w:val="00CE7A66"/>
    <w:rsid w:val="00D04A63"/>
    <w:rsid w:val="00D0721C"/>
    <w:rsid w:val="00D578A1"/>
    <w:rsid w:val="00D63C04"/>
    <w:rsid w:val="00DA2BD9"/>
    <w:rsid w:val="00DD454C"/>
    <w:rsid w:val="00E53487"/>
    <w:rsid w:val="00E63DB4"/>
    <w:rsid w:val="00E9241C"/>
    <w:rsid w:val="00EE3D71"/>
    <w:rsid w:val="00F62054"/>
    <w:rsid w:val="00F80C59"/>
    <w:rsid w:val="00FA201B"/>
    <w:rsid w:val="00FD2312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CB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90C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90C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90C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90C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90CBF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sid w:val="00990CBF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990CBF"/>
    <w:rPr>
      <w:color w:val="800080"/>
      <w:u w:val="single"/>
    </w:rPr>
  </w:style>
  <w:style w:type="paragraph" w:styleId="NormalWeb">
    <w:name w:val="Normal (Web)"/>
    <w:basedOn w:val="Normal"/>
    <w:semiHidden/>
    <w:rsid w:val="00990CBF"/>
    <w:pPr>
      <w:spacing w:before="100" w:beforeAutospacing="1" w:after="119"/>
    </w:pPr>
    <w:rPr>
      <w:rFonts w:eastAsia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5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eters@slx-online.biz" TargetMode="External"/><Relationship Id="rId2" Type="http://schemas.openxmlformats.org/officeDocument/2006/relationships/hyperlink" Target="mailto:uklabscomms@uk.ibm.com" TargetMode="External"/><Relationship Id="rId1" Type="http://schemas.openxmlformats.org/officeDocument/2006/relationships/hyperlink" Target="http://hursley.slx-online.bi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/>
  <LinksUpToDate>false</LinksUpToDate>
  <CharactersWithSpaces>1219</CharactersWithSpaces>
  <SharedDoc>false</SharedDoc>
  <HLinks>
    <vt:vector size="60" baseType="variant">
      <vt:variant>
        <vt:i4>7274520</vt:i4>
      </vt:variant>
      <vt:variant>
        <vt:i4>6</vt:i4>
      </vt:variant>
      <vt:variant>
        <vt:i4>0</vt:i4>
      </vt:variant>
      <vt:variant>
        <vt:i4>5</vt:i4>
      </vt:variant>
      <vt:variant>
        <vt:lpwstr>mailto:peters@slx-online.biz</vt:lpwstr>
      </vt:variant>
      <vt:variant>
        <vt:lpwstr/>
      </vt:variant>
      <vt:variant>
        <vt:i4>1835133</vt:i4>
      </vt:variant>
      <vt:variant>
        <vt:i4>3</vt:i4>
      </vt:variant>
      <vt:variant>
        <vt:i4>0</vt:i4>
      </vt:variant>
      <vt:variant>
        <vt:i4>5</vt:i4>
      </vt:variant>
      <vt:variant>
        <vt:lpwstr>mailto:uklabscomms@uk.ibm.com</vt:lpwstr>
      </vt:variant>
      <vt:variant>
        <vt:lpwstr/>
      </vt:variant>
      <vt:variant>
        <vt:i4>2752639</vt:i4>
      </vt:variant>
      <vt:variant>
        <vt:i4>0</vt:i4>
      </vt:variant>
      <vt:variant>
        <vt:i4>0</vt:i4>
      </vt:variant>
      <vt:variant>
        <vt:i4>5</vt:i4>
      </vt:variant>
      <vt:variant>
        <vt:lpwstr>http://hursley.slx-online.biz/</vt:lpwstr>
      </vt:variant>
      <vt:variant>
        <vt:lpwstr/>
      </vt:variant>
      <vt:variant>
        <vt:i4>2687066</vt:i4>
      </vt:variant>
      <vt:variant>
        <vt:i4>1585</vt:i4>
      </vt:variant>
      <vt:variant>
        <vt:i4>1025</vt:i4>
      </vt:variant>
      <vt:variant>
        <vt:i4>1</vt:i4>
      </vt:variant>
      <vt:variant>
        <vt:lpwstr>..\..\Oslo\20170518_102747_med.jpg</vt:lpwstr>
      </vt:variant>
      <vt:variant>
        <vt:lpwstr/>
      </vt:variant>
      <vt:variant>
        <vt:i4>5701724</vt:i4>
      </vt:variant>
      <vt:variant>
        <vt:i4>1588</vt:i4>
      </vt:variant>
      <vt:variant>
        <vt:i4>1026</vt:i4>
      </vt:variant>
      <vt:variant>
        <vt:i4>1</vt:i4>
      </vt:variant>
      <vt:variant>
        <vt:lpwstr>..\..\Oslo\2017-06-29 12.12.54_med.jpg</vt:lpwstr>
      </vt:variant>
      <vt:variant>
        <vt:lpwstr/>
      </vt:variant>
      <vt:variant>
        <vt:i4>2555999</vt:i4>
      </vt:variant>
      <vt:variant>
        <vt:i4>1591</vt:i4>
      </vt:variant>
      <vt:variant>
        <vt:i4>1027</vt:i4>
      </vt:variant>
      <vt:variant>
        <vt:i4>1</vt:i4>
      </vt:variant>
      <vt:variant>
        <vt:lpwstr>..\..\Oslo\20170518_102719_med.jpg</vt:lpwstr>
      </vt:variant>
      <vt:variant>
        <vt:lpwstr/>
      </vt:variant>
      <vt:variant>
        <vt:i4>6291580</vt:i4>
      </vt:variant>
      <vt:variant>
        <vt:i4>1594</vt:i4>
      </vt:variant>
      <vt:variant>
        <vt:i4>1028</vt:i4>
      </vt:variant>
      <vt:variant>
        <vt:i4>1</vt:i4>
      </vt:variant>
      <vt:variant>
        <vt:lpwstr>..\..\Oslo\2017-06-29 10.47.05 1_med.jpg</vt:lpwstr>
      </vt:variant>
      <vt:variant>
        <vt:lpwstr/>
      </vt:variant>
      <vt:variant>
        <vt:i4>5439568</vt:i4>
      </vt:variant>
      <vt:variant>
        <vt:i4>1597</vt:i4>
      </vt:variant>
      <vt:variant>
        <vt:i4>1029</vt:i4>
      </vt:variant>
      <vt:variant>
        <vt:i4>1</vt:i4>
      </vt:variant>
      <vt:variant>
        <vt:lpwstr>..\..\Oslo\2017-06-29 11.48.36_med.jpg</vt:lpwstr>
      </vt:variant>
      <vt:variant>
        <vt:lpwstr/>
      </vt:variant>
      <vt:variant>
        <vt:i4>2293854</vt:i4>
      </vt:variant>
      <vt:variant>
        <vt:i4>1600</vt:i4>
      </vt:variant>
      <vt:variant>
        <vt:i4>1030</vt:i4>
      </vt:variant>
      <vt:variant>
        <vt:i4>1</vt:i4>
      </vt:variant>
      <vt:variant>
        <vt:lpwstr>..\..\Oslo\20170518_102903_med.jpg</vt:lpwstr>
      </vt:variant>
      <vt:variant>
        <vt:lpwstr/>
      </vt:variant>
      <vt:variant>
        <vt:i4>2424896</vt:i4>
      </vt:variant>
      <vt:variant>
        <vt:i4>2703</vt:i4>
      </vt:variant>
      <vt:variant>
        <vt:i4>1031</vt:i4>
      </vt:variant>
      <vt:variant>
        <vt:i4>1</vt:i4>
      </vt:variant>
      <vt:variant>
        <vt:lpwstr>..\Photos\New 08-17\IMG_3475_med.jpg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Peter</dc:creator>
  <cp:lastModifiedBy>Peter</cp:lastModifiedBy>
  <cp:revision>10</cp:revision>
  <cp:lastPrinted>2018-03-10T15:40:00Z</cp:lastPrinted>
  <dcterms:created xsi:type="dcterms:W3CDTF">2019-01-13T11:50:00Z</dcterms:created>
  <dcterms:modified xsi:type="dcterms:W3CDTF">2019-01-14T15:46:00Z</dcterms:modified>
</cp:coreProperties>
</file>